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D9" w:rsidRPr="007D5732" w:rsidRDefault="00D453D9" w:rsidP="006A3B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color w:val="000000"/>
          <w:sz w:val="10"/>
        </w:rPr>
      </w:pPr>
    </w:p>
    <w:p w:rsidR="006A3BF4" w:rsidRPr="00496C9F" w:rsidRDefault="00411322" w:rsidP="006A3B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96C9F">
        <w:rPr>
          <w:rFonts w:ascii="Arial" w:hAnsi="Arial" w:cs="Arial"/>
          <w:b/>
          <w:noProof/>
          <w:color w:val="000000"/>
        </w:rPr>
        <w:t>Limity</w:t>
      </w:r>
      <w:r w:rsidR="00CF5134" w:rsidRPr="00496C9F">
        <w:rPr>
          <w:rFonts w:ascii="Arial" w:hAnsi="Arial" w:cs="Arial"/>
          <w:b/>
          <w:color w:val="000000"/>
        </w:rPr>
        <w:t xml:space="preserve"> stawek </w:t>
      </w:r>
      <w:r w:rsidRPr="00496C9F">
        <w:rPr>
          <w:rFonts w:ascii="Arial" w:hAnsi="Arial" w:cs="Arial"/>
          <w:b/>
          <w:color w:val="000000"/>
        </w:rPr>
        <w:t>dotowanych z</w:t>
      </w:r>
      <w:r w:rsidR="00D27166" w:rsidRPr="00496C9F">
        <w:rPr>
          <w:rFonts w:ascii="Arial" w:hAnsi="Arial" w:cs="Arial"/>
          <w:b/>
          <w:color w:val="000000"/>
        </w:rPr>
        <w:t>ajęć</w:t>
      </w:r>
      <w:r w:rsidRPr="00496C9F">
        <w:rPr>
          <w:rFonts w:ascii="Arial" w:hAnsi="Arial" w:cs="Arial"/>
          <w:b/>
          <w:color w:val="000000"/>
        </w:rPr>
        <w:t xml:space="preserve"> </w:t>
      </w:r>
      <w:r w:rsidR="00393989" w:rsidRPr="001740CE">
        <w:rPr>
          <w:rStyle w:val="Odwoanieprzypisudolnego"/>
          <w:rFonts w:ascii="Arial" w:hAnsi="Arial" w:cs="Arial"/>
          <w:color w:val="000000"/>
        </w:rPr>
        <w:footnoteReference w:id="1"/>
      </w:r>
    </w:p>
    <w:p w:rsidR="0049391E" w:rsidRPr="00E628B8" w:rsidRDefault="0049391E" w:rsidP="006A3B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</w:rPr>
      </w:pPr>
    </w:p>
    <w:p w:rsidR="00CF5134" w:rsidRPr="001740CE" w:rsidRDefault="006A3BF4" w:rsidP="00D45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1740CE">
        <w:rPr>
          <w:rFonts w:ascii="Arial" w:hAnsi="Arial" w:cs="Arial"/>
          <w:sz w:val="20"/>
        </w:rPr>
        <w:t>Przedstawione poniżej limity stawek w formie przedziałów pozwalają na zróżnicowanie wynagrodzenia w zależności od m.in.: kompetencji prowadzących, miejsca realizacji, odległości i czasu dojazdu, tematu, grupy odbiorców itd. Wysokość wynagrodzeń zbliżona do górnych limitów stawek jest zastrzeżon</w:t>
      </w:r>
      <w:r w:rsidR="0079189A" w:rsidRPr="001740CE">
        <w:rPr>
          <w:rFonts w:ascii="Arial" w:hAnsi="Arial" w:cs="Arial"/>
          <w:sz w:val="20"/>
        </w:rPr>
        <w:t>a</w:t>
      </w:r>
      <w:r w:rsidRPr="001740CE">
        <w:rPr>
          <w:rFonts w:ascii="Arial" w:hAnsi="Arial" w:cs="Arial"/>
          <w:sz w:val="20"/>
        </w:rPr>
        <w:t xml:space="preserve"> dla osób </w:t>
      </w:r>
      <w:r w:rsidR="00E628B8" w:rsidRPr="001740CE">
        <w:rPr>
          <w:rFonts w:ascii="Arial" w:hAnsi="Arial" w:cs="Arial"/>
          <w:sz w:val="20"/>
        </w:rPr>
        <w:br/>
      </w:r>
      <w:r w:rsidRPr="001740CE">
        <w:rPr>
          <w:rFonts w:ascii="Arial" w:hAnsi="Arial" w:cs="Arial"/>
          <w:sz w:val="20"/>
        </w:rPr>
        <w:t>z wyższym wykształceniem, o uznanych kompetencjach i specjalisty</w:t>
      </w:r>
      <w:r w:rsidR="00B7423D" w:rsidRPr="001740CE">
        <w:rPr>
          <w:rFonts w:ascii="Arial" w:hAnsi="Arial" w:cs="Arial"/>
          <w:sz w:val="20"/>
        </w:rPr>
        <w:t>cznym wykształceniu</w:t>
      </w:r>
      <w:r w:rsidRPr="001740CE">
        <w:rPr>
          <w:rFonts w:ascii="Arial" w:hAnsi="Arial" w:cs="Arial"/>
          <w:sz w:val="20"/>
        </w:rPr>
        <w:t xml:space="preserve"> związanym z problematyką zajęć.</w:t>
      </w:r>
    </w:p>
    <w:p w:rsidR="00D453D9" w:rsidRPr="007D5732" w:rsidRDefault="00D453D9" w:rsidP="00D45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4"/>
        </w:rPr>
      </w:pPr>
    </w:p>
    <w:tbl>
      <w:tblPr>
        <w:tblStyle w:val="Tabela-Siatka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2977"/>
        <w:gridCol w:w="2268"/>
        <w:gridCol w:w="7796"/>
      </w:tblGrid>
      <w:tr w:rsidR="001C71BE" w:rsidRPr="00496C9F" w:rsidTr="00B90BF7">
        <w:trPr>
          <w:trHeight w:val="634"/>
          <w:tblHeader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:rsidR="00606ACF" w:rsidRPr="00496C9F" w:rsidRDefault="008E4D8D" w:rsidP="008E4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6C9F">
              <w:rPr>
                <w:rFonts w:ascii="Arial" w:hAnsi="Arial" w:cs="Arial"/>
                <w:b/>
                <w:sz w:val="18"/>
                <w:szCs w:val="18"/>
              </w:rPr>
              <w:t>Dotowane d</w:t>
            </w:r>
            <w:r w:rsidR="00606ACF" w:rsidRPr="00496C9F">
              <w:rPr>
                <w:rFonts w:ascii="Arial" w:hAnsi="Arial" w:cs="Arial"/>
                <w:b/>
                <w:sz w:val="18"/>
                <w:szCs w:val="18"/>
              </w:rPr>
              <w:t>ziałanie</w:t>
            </w:r>
            <w:r w:rsidRPr="00496C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606ACF" w:rsidRPr="00496C9F" w:rsidRDefault="00606ACF" w:rsidP="00AC62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6C9F">
              <w:rPr>
                <w:rFonts w:ascii="Arial" w:hAnsi="Arial" w:cs="Arial"/>
                <w:b/>
                <w:sz w:val="18"/>
                <w:szCs w:val="18"/>
              </w:rPr>
              <w:t>Rodzaj zajęć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A44703" w:rsidRDefault="00606ACF" w:rsidP="00496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6C9F">
              <w:rPr>
                <w:rFonts w:ascii="Arial" w:hAnsi="Arial" w:cs="Arial"/>
                <w:b/>
                <w:sz w:val="18"/>
                <w:szCs w:val="18"/>
              </w:rPr>
              <w:t>Stawka</w:t>
            </w:r>
            <w:r w:rsidR="00496C9F" w:rsidRPr="00496C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06ACF" w:rsidRPr="00496C9F" w:rsidRDefault="00682020" w:rsidP="00496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 xml:space="preserve">za godzinę </w:t>
            </w:r>
            <w:r w:rsidR="006A3BF4" w:rsidRPr="00496C9F">
              <w:rPr>
                <w:rFonts w:ascii="Arial" w:hAnsi="Arial" w:cs="Arial"/>
                <w:sz w:val="18"/>
                <w:szCs w:val="18"/>
              </w:rPr>
              <w:t>d</w:t>
            </w:r>
            <w:r w:rsidRPr="00496C9F">
              <w:rPr>
                <w:rFonts w:ascii="Arial" w:hAnsi="Arial" w:cs="Arial"/>
                <w:sz w:val="18"/>
                <w:szCs w:val="18"/>
              </w:rPr>
              <w:t>ydaktyczną pracy</w:t>
            </w:r>
            <w:r w:rsidR="00496C9F" w:rsidRPr="00496C9F">
              <w:rPr>
                <w:rFonts w:ascii="Arial" w:hAnsi="Arial" w:cs="Arial"/>
                <w:sz w:val="18"/>
                <w:szCs w:val="18"/>
              </w:rPr>
              <w:t xml:space="preserve"> brutto</w:t>
            </w:r>
            <w:r w:rsidRPr="00496C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7D29" w:rsidRPr="00496C9F">
              <w:rPr>
                <w:rFonts w:ascii="Arial" w:hAnsi="Arial" w:cs="Arial"/>
                <w:b/>
                <w:sz w:val="18"/>
                <w:szCs w:val="18"/>
              </w:rPr>
              <w:t>(w zł</w:t>
            </w:r>
            <w:r w:rsidR="00496C9F" w:rsidRPr="00496C9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7796" w:type="dxa"/>
            <w:shd w:val="clear" w:color="auto" w:fill="C6D9F1" w:themeFill="text2" w:themeFillTint="33"/>
            <w:vAlign w:val="center"/>
          </w:tcPr>
          <w:p w:rsidR="00606ACF" w:rsidRPr="00496C9F" w:rsidRDefault="00606ACF" w:rsidP="00AC62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6C9F"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6A3BF4" w:rsidRPr="00496C9F" w:rsidTr="00B90BF7">
        <w:trPr>
          <w:trHeight w:val="1253"/>
        </w:trPr>
        <w:tc>
          <w:tcPr>
            <w:tcW w:w="2376" w:type="dxa"/>
            <w:vMerge w:val="restart"/>
            <w:shd w:val="clear" w:color="auto" w:fill="C6D9F1" w:themeFill="text2" w:themeFillTint="33"/>
            <w:vAlign w:val="center"/>
          </w:tcPr>
          <w:p w:rsidR="006A3BF4" w:rsidRPr="00496C9F" w:rsidRDefault="006A3BF4" w:rsidP="003644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Programy szkoleniowe dla przedstawicieli wybranych profesji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6A3BF4" w:rsidRPr="00496C9F" w:rsidRDefault="006A3BF4" w:rsidP="003644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wykłady dydaktyczne</w:t>
            </w:r>
          </w:p>
        </w:tc>
        <w:tc>
          <w:tcPr>
            <w:tcW w:w="2268" w:type="dxa"/>
            <w:vAlign w:val="center"/>
          </w:tcPr>
          <w:p w:rsidR="006A3BF4" w:rsidRPr="00496C9F" w:rsidRDefault="006A3BF4" w:rsidP="006A3B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200,00 – 500,00</w:t>
            </w:r>
          </w:p>
        </w:tc>
        <w:tc>
          <w:tcPr>
            <w:tcW w:w="7796" w:type="dxa"/>
            <w:vAlign w:val="center"/>
          </w:tcPr>
          <w:p w:rsidR="006A3BF4" w:rsidRPr="00496C9F" w:rsidRDefault="00741397" w:rsidP="00496C9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96C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Wykład dydaktyczny powinien opierać się na konspekcie, którego udostępnienia może oczekiwać organizator szkolenia</w:t>
            </w:r>
            <w:r w:rsidR="00496C9F" w:rsidRPr="00496C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  <w:r w:rsidRPr="00496C9F">
              <w:rPr>
                <w:rFonts w:ascii="Arial" w:hAnsi="Arial" w:cs="Arial"/>
                <w:sz w:val="18"/>
                <w:szCs w:val="18"/>
              </w:rPr>
              <w:t>S</w:t>
            </w:r>
            <w:r w:rsidRPr="00496C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tosowanie stawki powyżej 300,00 zł</w:t>
            </w:r>
            <w:r w:rsidRPr="00496C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C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powinno być zarezerwowane dla wykładowców </w:t>
            </w:r>
            <w:r w:rsidR="00496C9F" w:rsidRPr="00496C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wyższym wykształceniem.</w:t>
            </w:r>
            <w:r w:rsidR="00496C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96C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 sporządzaniu kalkulacji należy uwzględnić kwalifikacje prowadzących, liczbę godzin</w:t>
            </w:r>
            <w:r w:rsidR="00496C9F" w:rsidRPr="00496C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wykładowych i liczbę słuchaczy. </w:t>
            </w:r>
            <w:r w:rsidRPr="00496C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Decyzje dotyczące limitu godzin dla poszczególnych typów zajęć w ciągu dnia podejmuje zleceniodawca, uwzględniając warunki i specyfikę szkolenia,</w:t>
            </w:r>
          </w:p>
        </w:tc>
      </w:tr>
      <w:tr w:rsidR="006A3BF4" w:rsidRPr="00496C9F" w:rsidTr="00B90BF7">
        <w:trPr>
          <w:trHeight w:val="562"/>
        </w:trPr>
        <w:tc>
          <w:tcPr>
            <w:tcW w:w="2376" w:type="dxa"/>
            <w:vMerge/>
            <w:shd w:val="clear" w:color="auto" w:fill="C6D9F1" w:themeFill="text2" w:themeFillTint="33"/>
          </w:tcPr>
          <w:p w:rsidR="006A3BF4" w:rsidRPr="00496C9F" w:rsidRDefault="006A3BF4" w:rsidP="00CF51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6A3BF4" w:rsidRPr="00496C9F" w:rsidRDefault="006A3BF4" w:rsidP="003644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seminaria i warsztaty szkoleniowe dla profesjonalistów</w:t>
            </w:r>
          </w:p>
        </w:tc>
        <w:tc>
          <w:tcPr>
            <w:tcW w:w="2268" w:type="dxa"/>
            <w:vAlign w:val="center"/>
          </w:tcPr>
          <w:p w:rsidR="008C5092" w:rsidRPr="00496C9F" w:rsidRDefault="008C5092" w:rsidP="00496C9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96C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100,00 – </w:t>
            </w:r>
            <w:r w:rsidR="00496C9F" w:rsidRPr="00496C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  <w:r w:rsidRPr="00496C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7796" w:type="dxa"/>
            <w:vAlign w:val="center"/>
          </w:tcPr>
          <w:p w:rsidR="006A3BF4" w:rsidRPr="00496C9F" w:rsidRDefault="008C5092" w:rsidP="0006019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96C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Należy podać liczbę godzin, stawki, liczbę i wielkość grup oraz kwalifikacje prowadzących. Seminaria i warsztaty powinny być prowadzone na podstawie konspektu lub scenariusza, którego udostępnienie może być oczekiwane przez organizatora szkolenia.</w:t>
            </w:r>
          </w:p>
        </w:tc>
      </w:tr>
      <w:tr w:rsidR="006A3BF4" w:rsidRPr="00496C9F" w:rsidTr="00B90BF7">
        <w:trPr>
          <w:trHeight w:val="501"/>
        </w:trPr>
        <w:tc>
          <w:tcPr>
            <w:tcW w:w="2376" w:type="dxa"/>
            <w:vMerge/>
            <w:shd w:val="clear" w:color="auto" w:fill="C6D9F1" w:themeFill="text2" w:themeFillTint="33"/>
          </w:tcPr>
          <w:p w:rsidR="006A3BF4" w:rsidRPr="00496C9F" w:rsidRDefault="006A3BF4" w:rsidP="00CF51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6A3BF4" w:rsidRPr="00496C9F" w:rsidRDefault="006A3BF4" w:rsidP="00496C9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 xml:space="preserve">treningi psychologiczne </w:t>
            </w:r>
            <w:r w:rsidR="00496C9F" w:rsidRPr="00496C9F">
              <w:rPr>
                <w:rFonts w:ascii="Arial" w:hAnsi="Arial" w:cs="Arial"/>
                <w:sz w:val="18"/>
                <w:szCs w:val="18"/>
              </w:rPr>
              <w:br/>
            </w:r>
            <w:r w:rsidRPr="00496C9F">
              <w:rPr>
                <w:rFonts w:ascii="Arial" w:hAnsi="Arial" w:cs="Arial"/>
                <w:sz w:val="18"/>
                <w:szCs w:val="18"/>
              </w:rPr>
              <w:t>w małych grupach w ramach szkolenia profesjonalnego</w:t>
            </w:r>
          </w:p>
        </w:tc>
        <w:tc>
          <w:tcPr>
            <w:tcW w:w="2268" w:type="dxa"/>
            <w:vAlign w:val="center"/>
          </w:tcPr>
          <w:p w:rsidR="006A3BF4" w:rsidRPr="00496C9F" w:rsidRDefault="006A3BF4" w:rsidP="008D46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100,00 – 150,00</w:t>
            </w:r>
          </w:p>
        </w:tc>
        <w:tc>
          <w:tcPr>
            <w:tcW w:w="7796" w:type="dxa"/>
            <w:vAlign w:val="center"/>
          </w:tcPr>
          <w:p w:rsidR="006A3BF4" w:rsidRPr="00496C9F" w:rsidRDefault="006A3BF4" w:rsidP="000601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Grupy do 15 uczestników może</w:t>
            </w:r>
            <w:r w:rsidR="00AC7200" w:rsidRPr="00496C9F">
              <w:rPr>
                <w:rFonts w:ascii="Arial" w:hAnsi="Arial" w:cs="Arial"/>
                <w:sz w:val="18"/>
                <w:szCs w:val="18"/>
              </w:rPr>
              <w:t xml:space="preserve"> tylko</w:t>
            </w:r>
            <w:r w:rsidRPr="00496C9F">
              <w:rPr>
                <w:rFonts w:ascii="Arial" w:hAnsi="Arial" w:cs="Arial"/>
                <w:sz w:val="18"/>
                <w:szCs w:val="18"/>
              </w:rPr>
              <w:t xml:space="preserve"> prowadzić jeden trener. Należy podać kwalifikacje prowadzących, liczbę i wielkość grup, stawki, liczbę godzin zajęć.</w:t>
            </w:r>
          </w:p>
        </w:tc>
      </w:tr>
      <w:tr w:rsidR="00313978" w:rsidRPr="00496C9F" w:rsidTr="00B90BF7">
        <w:trPr>
          <w:trHeight w:val="445"/>
        </w:trPr>
        <w:tc>
          <w:tcPr>
            <w:tcW w:w="5353" w:type="dxa"/>
            <w:gridSpan w:val="2"/>
            <w:shd w:val="clear" w:color="auto" w:fill="C6D9F1" w:themeFill="text2" w:themeFillTint="33"/>
            <w:vAlign w:val="center"/>
          </w:tcPr>
          <w:p w:rsidR="00313978" w:rsidRPr="00496C9F" w:rsidRDefault="00313978" w:rsidP="0031397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Program stażowy</w:t>
            </w:r>
          </w:p>
        </w:tc>
        <w:tc>
          <w:tcPr>
            <w:tcW w:w="2268" w:type="dxa"/>
            <w:vAlign w:val="center"/>
          </w:tcPr>
          <w:p w:rsidR="00313978" w:rsidRPr="00496C9F" w:rsidRDefault="00313978" w:rsidP="008D46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100,00 – 200,00</w:t>
            </w:r>
            <w:r w:rsidRPr="00496C9F">
              <w:rPr>
                <w:rFonts w:ascii="Arial" w:hAnsi="Arial" w:cs="Arial"/>
                <w:sz w:val="18"/>
                <w:szCs w:val="18"/>
              </w:rPr>
              <w:br/>
              <w:t xml:space="preserve">wynagrodzenie </w:t>
            </w:r>
            <w:r w:rsidR="00A476C8">
              <w:rPr>
                <w:rFonts w:ascii="Arial" w:hAnsi="Arial" w:cs="Arial"/>
                <w:sz w:val="18"/>
                <w:szCs w:val="18"/>
              </w:rPr>
              <w:br/>
            </w:r>
            <w:r w:rsidRPr="00496C9F">
              <w:rPr>
                <w:rFonts w:ascii="Arial" w:hAnsi="Arial" w:cs="Arial"/>
                <w:sz w:val="18"/>
                <w:szCs w:val="18"/>
              </w:rPr>
              <w:t xml:space="preserve">dla opiekuna stażu </w:t>
            </w:r>
            <w:r w:rsidR="00A476C8">
              <w:rPr>
                <w:rFonts w:ascii="Arial" w:hAnsi="Arial" w:cs="Arial"/>
                <w:sz w:val="18"/>
                <w:szCs w:val="18"/>
              </w:rPr>
              <w:br/>
            </w:r>
            <w:r w:rsidRPr="00496C9F">
              <w:rPr>
                <w:rFonts w:ascii="Arial" w:hAnsi="Arial" w:cs="Arial"/>
                <w:sz w:val="18"/>
                <w:szCs w:val="18"/>
              </w:rPr>
              <w:t>od jednej osoby odbywającej staż</w:t>
            </w:r>
          </w:p>
        </w:tc>
        <w:tc>
          <w:tcPr>
            <w:tcW w:w="7796" w:type="dxa"/>
            <w:vAlign w:val="center"/>
          </w:tcPr>
          <w:p w:rsidR="00313978" w:rsidRPr="00496C9F" w:rsidRDefault="00313978" w:rsidP="0006019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96C9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Staż np. dla studentów – należy dołączyć do umowy program zajęć stażowych, a także wskazać opiekuna stażu. Staż powinien obejmować minimum 40 godz.</w:t>
            </w:r>
          </w:p>
        </w:tc>
      </w:tr>
      <w:tr w:rsidR="007B28DD" w:rsidRPr="00496C9F" w:rsidTr="00B90BF7">
        <w:trPr>
          <w:trHeight w:val="427"/>
        </w:trPr>
        <w:tc>
          <w:tcPr>
            <w:tcW w:w="2376" w:type="dxa"/>
            <w:vMerge w:val="restart"/>
            <w:shd w:val="clear" w:color="auto" w:fill="C6D9F1" w:themeFill="text2" w:themeFillTint="33"/>
            <w:vAlign w:val="center"/>
          </w:tcPr>
          <w:p w:rsidR="007B28DD" w:rsidRPr="00496C9F" w:rsidRDefault="007B28DD" w:rsidP="003644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Zajęcia profilaktyczne</w:t>
            </w:r>
            <w:r w:rsidRPr="00496C9F">
              <w:rPr>
                <w:rFonts w:ascii="Arial" w:hAnsi="Arial" w:cs="Arial"/>
                <w:sz w:val="18"/>
                <w:szCs w:val="18"/>
              </w:rPr>
              <w:br/>
              <w:t>i edukacyjno-rozwojowe dla dzieci, młodzieży, rodzin oraz nieprofesjonalistów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7B28DD" w:rsidRPr="00496C9F" w:rsidRDefault="007B28DD" w:rsidP="003644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 xml:space="preserve">zajęcia profilaktyczne </w:t>
            </w:r>
            <w:r w:rsidR="00A476C8">
              <w:rPr>
                <w:rFonts w:ascii="Arial" w:hAnsi="Arial" w:cs="Arial"/>
                <w:sz w:val="18"/>
                <w:szCs w:val="18"/>
              </w:rPr>
              <w:br/>
            </w:r>
            <w:r w:rsidRPr="00496C9F">
              <w:rPr>
                <w:rFonts w:ascii="Arial" w:hAnsi="Arial" w:cs="Arial"/>
                <w:sz w:val="18"/>
                <w:szCs w:val="18"/>
              </w:rPr>
              <w:t>dla młodzieży</w:t>
            </w:r>
          </w:p>
        </w:tc>
        <w:tc>
          <w:tcPr>
            <w:tcW w:w="2268" w:type="dxa"/>
            <w:vAlign w:val="center"/>
          </w:tcPr>
          <w:p w:rsidR="007B28DD" w:rsidRPr="00496C9F" w:rsidRDefault="007B28DD" w:rsidP="004159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30,00 – 75,00</w:t>
            </w:r>
          </w:p>
        </w:tc>
        <w:tc>
          <w:tcPr>
            <w:tcW w:w="7796" w:type="dxa"/>
            <w:vMerge w:val="restart"/>
            <w:vAlign w:val="center"/>
          </w:tcPr>
          <w:p w:rsidR="007B28DD" w:rsidRPr="00496C9F" w:rsidRDefault="007B28DD" w:rsidP="00A476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Prowadzenie tego rodzaju zajęć wymaga podania liczby godzin, wielkości i liczby grup słuchaczy, stawek, a także kwalifikacji osób prowadzących.</w:t>
            </w:r>
            <w:r w:rsidR="00A476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C9F">
              <w:rPr>
                <w:rFonts w:ascii="Arial" w:hAnsi="Arial" w:cs="Arial"/>
                <w:sz w:val="18"/>
                <w:szCs w:val="18"/>
              </w:rPr>
              <w:t>W przypadku programów socjoterapeutycznych uzasadnione jest finansowanie superwizji lub konsultacji dla zespołu.</w:t>
            </w:r>
            <w:r w:rsidR="00A476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C9F">
              <w:rPr>
                <w:rFonts w:ascii="Arial" w:hAnsi="Arial" w:cs="Arial"/>
                <w:sz w:val="18"/>
                <w:szCs w:val="18"/>
              </w:rPr>
              <w:t>Informacje o rekomendowanych programach profilaktycznych umieszczone są</w:t>
            </w:r>
            <w:r w:rsidR="00496C9F">
              <w:rPr>
                <w:rFonts w:ascii="Arial" w:hAnsi="Arial" w:cs="Arial"/>
                <w:sz w:val="18"/>
                <w:szCs w:val="18"/>
              </w:rPr>
              <w:t xml:space="preserve"> pod adresem: </w:t>
            </w:r>
            <w:hyperlink r:id="rId8" w:history="1">
              <w:r w:rsidR="00496C9F" w:rsidRPr="003345D1">
                <w:rPr>
                  <w:rStyle w:val="Hipercze"/>
                  <w:rFonts w:ascii="Arial" w:hAnsi="Arial" w:cs="Arial"/>
                  <w:sz w:val="18"/>
                  <w:szCs w:val="18"/>
                </w:rPr>
                <w:t>http://programyrekomendowane.pl/</w:t>
              </w:r>
            </w:hyperlink>
            <w:r w:rsidR="00496C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28DD" w:rsidRPr="00496C9F" w:rsidTr="00B90BF7">
        <w:trPr>
          <w:trHeight w:val="491"/>
        </w:trPr>
        <w:tc>
          <w:tcPr>
            <w:tcW w:w="2376" w:type="dxa"/>
            <w:vMerge/>
            <w:shd w:val="clear" w:color="auto" w:fill="C6D9F1" w:themeFill="text2" w:themeFillTint="33"/>
          </w:tcPr>
          <w:p w:rsidR="007B28DD" w:rsidRPr="00496C9F" w:rsidRDefault="007B28DD" w:rsidP="00CF51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7B28DD" w:rsidRPr="00496C9F" w:rsidRDefault="007B28DD" w:rsidP="003644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zajęcia opiekuńczo-wychowawcze dla dzieci z rodzin z problemem alkoholowym</w:t>
            </w:r>
          </w:p>
        </w:tc>
        <w:tc>
          <w:tcPr>
            <w:tcW w:w="2268" w:type="dxa"/>
            <w:vAlign w:val="center"/>
          </w:tcPr>
          <w:p w:rsidR="007B28DD" w:rsidRPr="00496C9F" w:rsidRDefault="007B28DD" w:rsidP="004159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25,00 – 40,00</w:t>
            </w:r>
          </w:p>
        </w:tc>
        <w:tc>
          <w:tcPr>
            <w:tcW w:w="7796" w:type="dxa"/>
            <w:vMerge/>
            <w:vAlign w:val="center"/>
          </w:tcPr>
          <w:p w:rsidR="007B28DD" w:rsidRPr="00496C9F" w:rsidRDefault="007B28DD" w:rsidP="004159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8DD" w:rsidRPr="00496C9F" w:rsidTr="00B90BF7">
        <w:trPr>
          <w:trHeight w:val="287"/>
        </w:trPr>
        <w:tc>
          <w:tcPr>
            <w:tcW w:w="2376" w:type="dxa"/>
            <w:vMerge/>
            <w:shd w:val="clear" w:color="auto" w:fill="C6D9F1" w:themeFill="text2" w:themeFillTint="33"/>
          </w:tcPr>
          <w:p w:rsidR="007B28DD" w:rsidRPr="00496C9F" w:rsidRDefault="007B28DD" w:rsidP="00CF51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7B28DD" w:rsidRPr="00496C9F" w:rsidRDefault="007B28DD" w:rsidP="003644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zajęcia socjoterapeutyczne</w:t>
            </w:r>
          </w:p>
        </w:tc>
        <w:tc>
          <w:tcPr>
            <w:tcW w:w="2268" w:type="dxa"/>
            <w:vAlign w:val="center"/>
          </w:tcPr>
          <w:p w:rsidR="007B28DD" w:rsidRPr="00496C9F" w:rsidRDefault="007B28DD" w:rsidP="004159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35,00 – 70,00</w:t>
            </w:r>
          </w:p>
        </w:tc>
        <w:tc>
          <w:tcPr>
            <w:tcW w:w="7796" w:type="dxa"/>
            <w:vMerge/>
            <w:vAlign w:val="center"/>
          </w:tcPr>
          <w:p w:rsidR="007B28DD" w:rsidRPr="00496C9F" w:rsidRDefault="007B28DD" w:rsidP="004159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8DD" w:rsidRPr="00496C9F" w:rsidTr="00B90BF7">
        <w:trPr>
          <w:trHeight w:val="418"/>
        </w:trPr>
        <w:tc>
          <w:tcPr>
            <w:tcW w:w="2376" w:type="dxa"/>
            <w:vMerge/>
            <w:shd w:val="clear" w:color="auto" w:fill="C6D9F1" w:themeFill="text2" w:themeFillTint="33"/>
          </w:tcPr>
          <w:p w:rsidR="007B28DD" w:rsidRPr="00496C9F" w:rsidRDefault="007B28DD" w:rsidP="006A7CB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7B28DD" w:rsidRPr="00496C9F" w:rsidRDefault="007B28DD" w:rsidP="003644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 xml:space="preserve">superwizja lub konsultacje </w:t>
            </w:r>
            <w:r w:rsidR="00A476C8">
              <w:rPr>
                <w:rFonts w:ascii="Arial" w:hAnsi="Arial" w:cs="Arial"/>
                <w:sz w:val="18"/>
                <w:szCs w:val="18"/>
              </w:rPr>
              <w:br/>
            </w:r>
            <w:r w:rsidRPr="00496C9F">
              <w:rPr>
                <w:rFonts w:ascii="Arial" w:hAnsi="Arial" w:cs="Arial"/>
                <w:sz w:val="18"/>
                <w:szCs w:val="18"/>
              </w:rPr>
              <w:t>dla zespołu socjoterapeutów</w:t>
            </w:r>
          </w:p>
        </w:tc>
        <w:tc>
          <w:tcPr>
            <w:tcW w:w="2268" w:type="dxa"/>
            <w:vAlign w:val="center"/>
          </w:tcPr>
          <w:p w:rsidR="007B28DD" w:rsidRPr="00496C9F" w:rsidRDefault="007B28DD" w:rsidP="004159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100,00 – 150,00</w:t>
            </w:r>
          </w:p>
        </w:tc>
        <w:tc>
          <w:tcPr>
            <w:tcW w:w="7796" w:type="dxa"/>
            <w:vMerge/>
            <w:vAlign w:val="center"/>
          </w:tcPr>
          <w:p w:rsidR="007B28DD" w:rsidRPr="00496C9F" w:rsidRDefault="007B28DD" w:rsidP="004159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8DD" w:rsidRPr="00496C9F" w:rsidTr="00B90BF7">
        <w:trPr>
          <w:trHeight w:val="411"/>
        </w:trPr>
        <w:tc>
          <w:tcPr>
            <w:tcW w:w="2376" w:type="dxa"/>
            <w:vMerge/>
            <w:shd w:val="clear" w:color="auto" w:fill="C6D9F1" w:themeFill="text2" w:themeFillTint="33"/>
          </w:tcPr>
          <w:p w:rsidR="007B28DD" w:rsidRPr="00496C9F" w:rsidRDefault="007B28DD" w:rsidP="006A7CB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7B28DD" w:rsidRPr="00496C9F" w:rsidRDefault="007B28DD" w:rsidP="003644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systematyczne dyżury interwencyjno-wspierające</w:t>
            </w:r>
          </w:p>
        </w:tc>
        <w:tc>
          <w:tcPr>
            <w:tcW w:w="2268" w:type="dxa"/>
            <w:vAlign w:val="center"/>
          </w:tcPr>
          <w:p w:rsidR="007B28DD" w:rsidRPr="00496C9F" w:rsidRDefault="007B28DD" w:rsidP="004159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30,00 – 60,00</w:t>
            </w:r>
          </w:p>
        </w:tc>
        <w:tc>
          <w:tcPr>
            <w:tcW w:w="7796" w:type="dxa"/>
            <w:vMerge/>
            <w:vAlign w:val="center"/>
          </w:tcPr>
          <w:p w:rsidR="007B28DD" w:rsidRPr="00496C9F" w:rsidRDefault="007B28DD" w:rsidP="004159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772E" w:rsidRPr="00496C9F" w:rsidTr="00B90BF7">
        <w:trPr>
          <w:trHeight w:val="568"/>
        </w:trPr>
        <w:tc>
          <w:tcPr>
            <w:tcW w:w="2376" w:type="dxa"/>
            <w:vMerge w:val="restart"/>
            <w:shd w:val="clear" w:color="auto" w:fill="C6D9F1" w:themeFill="text2" w:themeFillTint="33"/>
            <w:vAlign w:val="center"/>
          </w:tcPr>
          <w:p w:rsidR="0040772E" w:rsidRPr="00496C9F" w:rsidRDefault="0040772E" w:rsidP="003644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Działania interwencyjno-wspierające dla członków rodzin, w których występują problemy alkoholowe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40772E" w:rsidRPr="00496C9F" w:rsidRDefault="0040772E" w:rsidP="003644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oddziaływania edukacyjno – korekcyjne dla sprawców przemocy</w:t>
            </w:r>
          </w:p>
        </w:tc>
        <w:tc>
          <w:tcPr>
            <w:tcW w:w="2268" w:type="dxa"/>
            <w:vAlign w:val="center"/>
          </w:tcPr>
          <w:p w:rsidR="0040772E" w:rsidRPr="00496C9F" w:rsidRDefault="0040772E" w:rsidP="004A70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40,00 – 65,00</w:t>
            </w:r>
          </w:p>
        </w:tc>
        <w:tc>
          <w:tcPr>
            <w:tcW w:w="7796" w:type="dxa"/>
            <w:vMerge w:val="restart"/>
            <w:vAlign w:val="center"/>
          </w:tcPr>
          <w:p w:rsidR="0040772E" w:rsidRPr="00496C9F" w:rsidRDefault="0040772E" w:rsidP="000601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 xml:space="preserve">W ramach zajęć prowadzonych w małych grupach finansuje się zatrudnienie tylko jednej osoby prowadzącej (jeżeli grupa nie przekracza 10–15 osób). Wyjątek mogą stanowić specjalistyczne zajęcia dla dzieci z rodzin alkoholowych oraz specjalistyczna psychoterapia DDA. Wymagane jest, aby osoby realizujące zadania terapeutyczne posiadały doświadczenie merytoryczne </w:t>
            </w:r>
            <w:r w:rsidR="008D231E">
              <w:rPr>
                <w:rFonts w:ascii="Arial" w:hAnsi="Arial" w:cs="Arial"/>
                <w:sz w:val="18"/>
                <w:szCs w:val="18"/>
              </w:rPr>
              <w:br/>
            </w:r>
            <w:r w:rsidRPr="00496C9F">
              <w:rPr>
                <w:rFonts w:ascii="Arial" w:hAnsi="Arial" w:cs="Arial"/>
                <w:sz w:val="18"/>
                <w:szCs w:val="18"/>
              </w:rPr>
              <w:t>w pracy w placówkach profesjonalnych.</w:t>
            </w:r>
          </w:p>
        </w:tc>
      </w:tr>
      <w:tr w:rsidR="004A702E" w:rsidRPr="00496C9F" w:rsidTr="00B90BF7">
        <w:trPr>
          <w:trHeight w:val="419"/>
        </w:trPr>
        <w:tc>
          <w:tcPr>
            <w:tcW w:w="2376" w:type="dxa"/>
            <w:vMerge/>
            <w:shd w:val="clear" w:color="auto" w:fill="C6D9F1" w:themeFill="text2" w:themeFillTint="33"/>
            <w:vAlign w:val="center"/>
          </w:tcPr>
          <w:p w:rsidR="004A702E" w:rsidRPr="00496C9F" w:rsidRDefault="004A702E" w:rsidP="004A702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4A702E" w:rsidRPr="00496C9F" w:rsidRDefault="004A702E" w:rsidP="003644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konsultacje specjalistów (prawnik, lekarz, psycholog kliniczny)</w:t>
            </w:r>
          </w:p>
        </w:tc>
        <w:tc>
          <w:tcPr>
            <w:tcW w:w="2268" w:type="dxa"/>
            <w:vAlign w:val="center"/>
          </w:tcPr>
          <w:p w:rsidR="004A702E" w:rsidRPr="00496C9F" w:rsidRDefault="004A702E" w:rsidP="004A70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45,00 – 70,00</w:t>
            </w:r>
          </w:p>
        </w:tc>
        <w:tc>
          <w:tcPr>
            <w:tcW w:w="7796" w:type="dxa"/>
            <w:vMerge/>
          </w:tcPr>
          <w:p w:rsidR="004A702E" w:rsidRPr="00496C9F" w:rsidRDefault="004A702E" w:rsidP="00060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702E" w:rsidRPr="00496C9F" w:rsidTr="00B90BF7">
        <w:trPr>
          <w:trHeight w:val="269"/>
        </w:trPr>
        <w:tc>
          <w:tcPr>
            <w:tcW w:w="2376" w:type="dxa"/>
            <w:vMerge/>
            <w:shd w:val="clear" w:color="auto" w:fill="C6D9F1" w:themeFill="text2" w:themeFillTint="33"/>
            <w:vAlign w:val="center"/>
          </w:tcPr>
          <w:p w:rsidR="004A702E" w:rsidRPr="00496C9F" w:rsidRDefault="004A702E" w:rsidP="004A702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4A702E" w:rsidRPr="00496C9F" w:rsidRDefault="004A702E" w:rsidP="003644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zajęcia terapeutyczne dla osób doświadczających przemocy</w:t>
            </w:r>
          </w:p>
        </w:tc>
        <w:tc>
          <w:tcPr>
            <w:tcW w:w="2268" w:type="dxa"/>
            <w:vAlign w:val="center"/>
          </w:tcPr>
          <w:p w:rsidR="004A702E" w:rsidRPr="00496C9F" w:rsidRDefault="004A702E" w:rsidP="004A70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40,00 – 65,00</w:t>
            </w:r>
          </w:p>
        </w:tc>
        <w:tc>
          <w:tcPr>
            <w:tcW w:w="7796" w:type="dxa"/>
            <w:vMerge/>
          </w:tcPr>
          <w:p w:rsidR="004A702E" w:rsidRPr="00496C9F" w:rsidRDefault="004A702E" w:rsidP="000601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702E" w:rsidRPr="00496C9F" w:rsidTr="00B90BF7">
        <w:trPr>
          <w:trHeight w:val="416"/>
        </w:trPr>
        <w:tc>
          <w:tcPr>
            <w:tcW w:w="2376" w:type="dxa"/>
            <w:vMerge w:val="restart"/>
            <w:shd w:val="clear" w:color="auto" w:fill="C6D9F1" w:themeFill="text2" w:themeFillTint="33"/>
            <w:vAlign w:val="center"/>
          </w:tcPr>
          <w:p w:rsidR="004A702E" w:rsidRPr="00496C9F" w:rsidRDefault="004A702E" w:rsidP="00E628B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lastRenderedPageBreak/>
              <w:t>Inne zadania i zalecane stawki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4A702E" w:rsidRPr="00496C9F" w:rsidRDefault="004A702E" w:rsidP="003644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oryginalne teksty zatwierdzone do publikacji i rozprowadzania</w:t>
            </w:r>
          </w:p>
        </w:tc>
        <w:tc>
          <w:tcPr>
            <w:tcW w:w="2268" w:type="dxa"/>
            <w:vAlign w:val="center"/>
          </w:tcPr>
          <w:p w:rsidR="004A702E" w:rsidRPr="00496C9F" w:rsidRDefault="004A702E" w:rsidP="004A70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45,00 – 110,00</w:t>
            </w:r>
          </w:p>
        </w:tc>
        <w:tc>
          <w:tcPr>
            <w:tcW w:w="7796" w:type="dxa"/>
            <w:vAlign w:val="center"/>
          </w:tcPr>
          <w:p w:rsidR="004A702E" w:rsidRPr="00496C9F" w:rsidRDefault="004A702E" w:rsidP="000601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 xml:space="preserve">Za stronę znormalizowanego maszynopisu, tj. 1800 znaków, </w:t>
            </w:r>
          </w:p>
          <w:p w:rsidR="004A702E" w:rsidRPr="00496C9F" w:rsidRDefault="004A702E" w:rsidP="000601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Należy podać liczbę stron, liczbę egzemplarzy – stawki średnie: autorskie</w:t>
            </w:r>
          </w:p>
        </w:tc>
        <w:bookmarkStart w:id="0" w:name="_GoBack"/>
        <w:bookmarkEnd w:id="0"/>
      </w:tr>
      <w:tr w:rsidR="004A702E" w:rsidRPr="00496C9F" w:rsidTr="00B90BF7">
        <w:trPr>
          <w:trHeight w:val="139"/>
        </w:trPr>
        <w:tc>
          <w:tcPr>
            <w:tcW w:w="2376" w:type="dxa"/>
            <w:vMerge/>
            <w:shd w:val="clear" w:color="auto" w:fill="C6D9F1" w:themeFill="text2" w:themeFillTint="33"/>
            <w:vAlign w:val="center"/>
          </w:tcPr>
          <w:p w:rsidR="004A702E" w:rsidRPr="00496C9F" w:rsidRDefault="004A702E" w:rsidP="004A702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4A702E" w:rsidRPr="00496C9F" w:rsidRDefault="004A702E" w:rsidP="003644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tłumaczenia</w:t>
            </w:r>
          </w:p>
        </w:tc>
        <w:tc>
          <w:tcPr>
            <w:tcW w:w="2268" w:type="dxa"/>
            <w:vAlign w:val="center"/>
          </w:tcPr>
          <w:p w:rsidR="004A702E" w:rsidRPr="00496C9F" w:rsidRDefault="004A702E" w:rsidP="004A70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45,00 – 70,00</w:t>
            </w:r>
          </w:p>
        </w:tc>
        <w:tc>
          <w:tcPr>
            <w:tcW w:w="7796" w:type="dxa"/>
            <w:vAlign w:val="center"/>
          </w:tcPr>
          <w:p w:rsidR="004A702E" w:rsidRPr="00496C9F" w:rsidRDefault="004E7FDA" w:rsidP="000601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Z</w:t>
            </w:r>
            <w:r w:rsidR="004A702E" w:rsidRPr="00496C9F">
              <w:rPr>
                <w:rFonts w:ascii="Arial" w:hAnsi="Arial" w:cs="Arial"/>
                <w:sz w:val="18"/>
                <w:szCs w:val="18"/>
              </w:rPr>
              <w:t>a znormalizowaną stronę maszynopisu</w:t>
            </w:r>
            <w:r w:rsidRPr="00496C9F">
              <w:rPr>
                <w:rFonts w:ascii="Arial" w:hAnsi="Arial" w:cs="Arial"/>
                <w:sz w:val="18"/>
                <w:szCs w:val="18"/>
              </w:rPr>
              <w:t xml:space="preserve"> (w zależności od terminu)</w:t>
            </w:r>
            <w:r w:rsidR="00003AD3" w:rsidRPr="00496C9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A702E" w:rsidRPr="00496C9F" w:rsidTr="00B90BF7">
        <w:trPr>
          <w:trHeight w:val="1249"/>
        </w:trPr>
        <w:tc>
          <w:tcPr>
            <w:tcW w:w="2376" w:type="dxa"/>
            <w:vMerge/>
            <w:shd w:val="clear" w:color="auto" w:fill="C6D9F1" w:themeFill="text2" w:themeFillTint="33"/>
            <w:vAlign w:val="center"/>
          </w:tcPr>
          <w:p w:rsidR="004A702E" w:rsidRPr="00496C9F" w:rsidRDefault="004A702E" w:rsidP="004A70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4A702E" w:rsidRPr="00496C9F" w:rsidRDefault="004A702E" w:rsidP="003644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wykonanie innych materiałów profilaktycznych, ed</w:t>
            </w:r>
            <w:r w:rsidR="00925714" w:rsidRPr="00496C9F">
              <w:rPr>
                <w:rFonts w:ascii="Arial" w:hAnsi="Arial" w:cs="Arial"/>
                <w:sz w:val="18"/>
                <w:szCs w:val="18"/>
              </w:rPr>
              <w:t>ukacyjno-terapeutycznych (płyty CD</w:t>
            </w:r>
            <w:r w:rsidRPr="00496C9F">
              <w:rPr>
                <w:rFonts w:ascii="Arial" w:hAnsi="Arial" w:cs="Arial"/>
                <w:sz w:val="18"/>
                <w:szCs w:val="18"/>
              </w:rPr>
              <w:t>, plakaty itp.)</w:t>
            </w:r>
          </w:p>
        </w:tc>
        <w:tc>
          <w:tcPr>
            <w:tcW w:w="2268" w:type="dxa"/>
            <w:vAlign w:val="center"/>
          </w:tcPr>
          <w:p w:rsidR="004A702E" w:rsidRPr="00496C9F" w:rsidRDefault="00465FDC" w:rsidP="00465F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>100</w:t>
            </w:r>
            <w:r w:rsidR="004A702E" w:rsidRPr="00496C9F">
              <w:rPr>
                <w:rFonts w:ascii="Arial" w:hAnsi="Arial" w:cs="Arial"/>
                <w:sz w:val="18"/>
                <w:szCs w:val="18"/>
              </w:rPr>
              <w:t>,00 – 1</w:t>
            </w:r>
            <w:r w:rsidRPr="00496C9F">
              <w:rPr>
                <w:rFonts w:ascii="Arial" w:hAnsi="Arial" w:cs="Arial"/>
                <w:sz w:val="18"/>
                <w:szCs w:val="18"/>
              </w:rPr>
              <w:t>5</w:t>
            </w:r>
            <w:r w:rsidR="004A702E" w:rsidRPr="00496C9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7796" w:type="dxa"/>
            <w:vAlign w:val="center"/>
          </w:tcPr>
          <w:p w:rsidR="004A702E" w:rsidRPr="00496C9F" w:rsidRDefault="004A702E" w:rsidP="00E628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C9F">
              <w:rPr>
                <w:rFonts w:ascii="Arial" w:hAnsi="Arial" w:cs="Arial"/>
                <w:sz w:val="18"/>
                <w:szCs w:val="18"/>
              </w:rPr>
              <w:t xml:space="preserve">Przy ustalaniu wynagrodzeń autorskich można oszacować liczbę godzin potrzebnych </w:t>
            </w:r>
            <w:r w:rsidR="00E628B8">
              <w:rPr>
                <w:rFonts w:ascii="Arial" w:hAnsi="Arial" w:cs="Arial"/>
                <w:sz w:val="18"/>
                <w:szCs w:val="18"/>
              </w:rPr>
              <w:br/>
            </w:r>
            <w:r w:rsidRPr="00496C9F">
              <w:rPr>
                <w:rFonts w:ascii="Arial" w:hAnsi="Arial" w:cs="Arial"/>
                <w:sz w:val="18"/>
                <w:szCs w:val="18"/>
              </w:rPr>
              <w:t xml:space="preserve">do faktycznego wykonania dzieła i posłużyć się stawką godzinową podobną do wynagrodzeń </w:t>
            </w:r>
            <w:r w:rsidR="008D231E">
              <w:rPr>
                <w:rFonts w:ascii="Arial" w:hAnsi="Arial" w:cs="Arial"/>
                <w:sz w:val="18"/>
                <w:szCs w:val="18"/>
              </w:rPr>
              <w:br/>
            </w:r>
            <w:r w:rsidRPr="00496C9F">
              <w:rPr>
                <w:rFonts w:ascii="Arial" w:hAnsi="Arial" w:cs="Arial"/>
                <w:sz w:val="18"/>
                <w:szCs w:val="18"/>
              </w:rPr>
              <w:t xml:space="preserve">za warsztatową działalność szkoleniową. Jeżeli w ramach dotowanych zadań opracowywane </w:t>
            </w:r>
            <w:r w:rsidR="008D231E">
              <w:rPr>
                <w:rFonts w:ascii="Arial" w:hAnsi="Arial" w:cs="Arial"/>
                <w:sz w:val="18"/>
                <w:szCs w:val="18"/>
              </w:rPr>
              <w:br/>
            </w:r>
            <w:r w:rsidRPr="00496C9F">
              <w:rPr>
                <w:rFonts w:ascii="Arial" w:hAnsi="Arial" w:cs="Arial"/>
                <w:sz w:val="18"/>
                <w:szCs w:val="18"/>
              </w:rPr>
              <w:t>są nowe technologie profilaktyczne, edukacyjne,</w:t>
            </w:r>
            <w:r w:rsidR="008D23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C9F">
              <w:rPr>
                <w:rFonts w:ascii="Arial" w:hAnsi="Arial" w:cs="Arial"/>
                <w:sz w:val="18"/>
                <w:szCs w:val="18"/>
              </w:rPr>
              <w:t xml:space="preserve">w umowach zastrzega się, </w:t>
            </w:r>
            <w:r w:rsidR="008D23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C9F">
              <w:rPr>
                <w:rFonts w:ascii="Arial" w:hAnsi="Arial" w:cs="Arial"/>
                <w:sz w:val="18"/>
                <w:szCs w:val="18"/>
              </w:rPr>
              <w:t>że autorzy przekazują</w:t>
            </w:r>
            <w:r w:rsidR="00BB0012" w:rsidRPr="00496C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6C9F">
              <w:rPr>
                <w:rFonts w:ascii="Arial" w:hAnsi="Arial" w:cs="Arial"/>
                <w:sz w:val="18"/>
                <w:szCs w:val="18"/>
              </w:rPr>
              <w:t xml:space="preserve">publicznemu zleceniodawcy prawo do bezpłatnego upowszechniania i korzystania </w:t>
            </w:r>
            <w:r w:rsidR="008D231E">
              <w:rPr>
                <w:rFonts w:ascii="Arial" w:hAnsi="Arial" w:cs="Arial"/>
                <w:sz w:val="18"/>
                <w:szCs w:val="18"/>
              </w:rPr>
              <w:br/>
            </w:r>
            <w:r w:rsidRPr="00496C9F">
              <w:rPr>
                <w:rFonts w:ascii="Arial" w:hAnsi="Arial" w:cs="Arial"/>
                <w:sz w:val="18"/>
                <w:szCs w:val="18"/>
              </w:rPr>
              <w:t>z tych technologii.</w:t>
            </w:r>
          </w:p>
        </w:tc>
      </w:tr>
    </w:tbl>
    <w:p w:rsidR="00CF5134" w:rsidRPr="007D5732" w:rsidRDefault="00CF5134" w:rsidP="00CF5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2EFC" w:rsidRDefault="00782EFC" w:rsidP="00925714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F5134" w:rsidRPr="001740CE" w:rsidRDefault="003A5A21" w:rsidP="00925714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740CE">
        <w:rPr>
          <w:rFonts w:ascii="Arial" w:hAnsi="Arial" w:cs="Arial"/>
          <w:b/>
          <w:sz w:val="18"/>
          <w:szCs w:val="18"/>
        </w:rPr>
        <w:t>Słowniczek:</w:t>
      </w:r>
    </w:p>
    <w:p w:rsidR="003A5A21" w:rsidRPr="001740CE" w:rsidRDefault="003A5A21" w:rsidP="00E628B8">
      <w:pPr>
        <w:pStyle w:val="Akapitzlist"/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Arial" w:hAnsi="Arial" w:cs="Arial"/>
          <w:sz w:val="18"/>
          <w:szCs w:val="18"/>
        </w:rPr>
      </w:pPr>
      <w:r w:rsidRPr="001740CE">
        <w:rPr>
          <w:rFonts w:ascii="Arial" w:hAnsi="Arial" w:cs="Arial"/>
          <w:b/>
          <w:sz w:val="18"/>
          <w:szCs w:val="18"/>
        </w:rPr>
        <w:t xml:space="preserve">wykład </w:t>
      </w:r>
      <w:r w:rsidRPr="001740CE">
        <w:rPr>
          <w:rFonts w:ascii="Arial" w:hAnsi="Arial" w:cs="Arial"/>
          <w:sz w:val="18"/>
          <w:szCs w:val="18"/>
        </w:rPr>
        <w:t xml:space="preserve">– jest zorganizowaną formą przekazu wiedzy słuchaczom przez jedną osobę i jest stosowany w ramach szkolenia lub edukacji ogólnej. Od wykładowcy należy oczekiwać udostępnienia konspektu wykładu zawierającego szkic podstawowych tez, które będą przedstawiane słuchaczom. Nie zaliczamy do wykładów zajęć opartych przede wszystkim </w:t>
      </w:r>
      <w:r w:rsidR="008662BF" w:rsidRPr="001740CE">
        <w:rPr>
          <w:rFonts w:ascii="Arial" w:hAnsi="Arial" w:cs="Arial"/>
          <w:sz w:val="18"/>
          <w:szCs w:val="18"/>
        </w:rPr>
        <w:br/>
      </w:r>
      <w:r w:rsidRPr="001740CE">
        <w:rPr>
          <w:rFonts w:ascii="Arial" w:hAnsi="Arial" w:cs="Arial"/>
          <w:sz w:val="18"/>
          <w:szCs w:val="18"/>
        </w:rPr>
        <w:t xml:space="preserve">na opowiadaniu swojej historii życia, doświadczeń osobistych itp. Wykładu nie może również stanowić przekazywanie informacji i wiedzy osobom uzależnionym w czasie terapii </w:t>
      </w:r>
      <w:r w:rsidR="001740CE">
        <w:rPr>
          <w:rFonts w:ascii="Arial" w:hAnsi="Arial" w:cs="Arial"/>
          <w:sz w:val="18"/>
          <w:szCs w:val="18"/>
        </w:rPr>
        <w:br/>
      </w:r>
      <w:r w:rsidRPr="001740CE">
        <w:rPr>
          <w:rFonts w:ascii="Arial" w:hAnsi="Arial" w:cs="Arial"/>
          <w:sz w:val="18"/>
          <w:szCs w:val="18"/>
        </w:rPr>
        <w:t>lub członkom rodzin, bardziej odpowiednim terminem jest tu psychoedukacja.</w:t>
      </w:r>
    </w:p>
    <w:p w:rsidR="003A5A21" w:rsidRPr="001740CE" w:rsidRDefault="003A5A21" w:rsidP="00E628B8">
      <w:pPr>
        <w:pStyle w:val="Akapitzlist"/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Arial" w:hAnsi="Arial" w:cs="Arial"/>
          <w:sz w:val="18"/>
          <w:szCs w:val="18"/>
        </w:rPr>
      </w:pPr>
      <w:r w:rsidRPr="001740CE">
        <w:rPr>
          <w:rFonts w:ascii="Arial" w:hAnsi="Arial" w:cs="Arial"/>
          <w:b/>
          <w:sz w:val="18"/>
          <w:szCs w:val="18"/>
        </w:rPr>
        <w:t>seminarium</w:t>
      </w:r>
      <w:r w:rsidRPr="001740CE">
        <w:rPr>
          <w:rFonts w:ascii="Arial" w:hAnsi="Arial" w:cs="Arial"/>
          <w:sz w:val="18"/>
          <w:szCs w:val="18"/>
        </w:rPr>
        <w:t xml:space="preserve"> – zorganizowana forma zajęć szkoleniowych, obejmująca wprowadzenie poznawcze do tematu oraz pracę własną w postaci udziału w dyskusji i przedstawiania przez uczestników przygotowanych wypowiedzi dotyczących wiedzy na określony temat.</w:t>
      </w:r>
    </w:p>
    <w:p w:rsidR="003A5A21" w:rsidRPr="001740CE" w:rsidRDefault="003A5A21" w:rsidP="00E628B8">
      <w:pPr>
        <w:pStyle w:val="Akapitzlist"/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Arial" w:eastAsia="ZapfDingbatsITC" w:hAnsi="Arial" w:cs="Arial"/>
          <w:color w:val="000000"/>
          <w:sz w:val="18"/>
          <w:szCs w:val="18"/>
        </w:rPr>
      </w:pPr>
      <w:r w:rsidRPr="001740CE">
        <w:rPr>
          <w:rFonts w:ascii="Arial" w:eastAsia="ZapfDingbatsITC" w:hAnsi="Arial" w:cs="Arial"/>
          <w:b/>
          <w:color w:val="000000"/>
          <w:sz w:val="18"/>
          <w:szCs w:val="18"/>
        </w:rPr>
        <w:t>warsztaty</w:t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 xml:space="preserve"> – zorganizowana forma działalności szkoleniowej, obejmująca praktyczne ćwiczenie określonych umiejętności związanych z wykonywanym zawodem, prowadzona </w:t>
      </w:r>
      <w:r w:rsidR="008662BF" w:rsidRPr="001740CE">
        <w:rPr>
          <w:rFonts w:ascii="Arial" w:eastAsia="ZapfDingbatsITC" w:hAnsi="Arial" w:cs="Arial"/>
          <w:color w:val="000000"/>
          <w:sz w:val="18"/>
          <w:szCs w:val="18"/>
        </w:rPr>
        <w:br/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>na podstawie przygotowanego scenariusza określającego przebieg kolejnych sytuacji. Typowa liczba uczestników to 12–18 osób. Używanie terminu „warsztat” poza obszarem programu szkoleniowego jest mylące. Dla zajęć związanych z rozwijaniem umiejętności w programach terapeutycznych lub profilaktycznych bardziej stosownym określeniem są „ćwiczenia praktyczne”.</w:t>
      </w:r>
    </w:p>
    <w:p w:rsidR="003A5A21" w:rsidRPr="001740CE" w:rsidRDefault="003A5A21" w:rsidP="00E628B8">
      <w:pPr>
        <w:pStyle w:val="Akapitzlist"/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Arial" w:eastAsia="ZapfDingbatsITC" w:hAnsi="Arial" w:cs="Arial"/>
          <w:color w:val="000000"/>
          <w:sz w:val="18"/>
          <w:szCs w:val="18"/>
        </w:rPr>
      </w:pPr>
      <w:r w:rsidRPr="001740CE">
        <w:rPr>
          <w:rFonts w:ascii="Arial" w:eastAsia="ZapfDingbatsITC" w:hAnsi="Arial" w:cs="Arial"/>
          <w:b/>
          <w:color w:val="000000"/>
          <w:sz w:val="18"/>
          <w:szCs w:val="18"/>
        </w:rPr>
        <w:t>trening psychologiczny</w:t>
      </w:r>
      <w:r w:rsidR="00E16D71" w:rsidRPr="001740CE">
        <w:rPr>
          <w:rFonts w:ascii="Arial" w:eastAsia="ZapfDingbatsITC" w:hAnsi="Arial" w:cs="Arial"/>
          <w:color w:val="000000"/>
          <w:sz w:val="18"/>
          <w:szCs w:val="18"/>
        </w:rPr>
        <w:t xml:space="preserve"> – </w:t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 xml:space="preserve"> (interpersonalny, asertywności itp.) specjalistyczna metoda oddziaływania psychologicznego, służąca zmianie określonych zachowań, rozwojowi osobistemu </w:t>
      </w:r>
      <w:r w:rsidR="00497C16" w:rsidRPr="001740CE">
        <w:rPr>
          <w:rFonts w:ascii="Arial" w:eastAsia="ZapfDingbatsITC" w:hAnsi="Arial" w:cs="Arial"/>
          <w:color w:val="000000"/>
          <w:sz w:val="18"/>
          <w:szCs w:val="18"/>
        </w:rPr>
        <w:br/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>oraz nabyciu nowych umiejętności interpsychicznych lub interpersonalnych. Typowa liczba uczestników w grupie to 10–15 osób. Do prowadzenia treningu konieczne są:</w:t>
      </w:r>
    </w:p>
    <w:p w:rsidR="003A5A21" w:rsidRPr="001740CE" w:rsidRDefault="003A5A21" w:rsidP="00E628B8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ZapfDingbatsITC" w:hAnsi="Arial" w:cs="Arial"/>
          <w:color w:val="000000"/>
          <w:sz w:val="18"/>
          <w:szCs w:val="18"/>
        </w:rPr>
      </w:pPr>
      <w:r w:rsidRPr="001740CE">
        <w:rPr>
          <w:rFonts w:ascii="Arial" w:eastAsia="ZapfDingbatsITC" w:hAnsi="Arial" w:cs="Arial"/>
          <w:color w:val="000000"/>
          <w:sz w:val="18"/>
          <w:szCs w:val="18"/>
        </w:rPr>
        <w:t>– specjalistyczne umiejętności trenera wynikające ze szkolenia w zakresie treningu psychologicznego,</w:t>
      </w:r>
    </w:p>
    <w:p w:rsidR="003A5A21" w:rsidRPr="001740CE" w:rsidRDefault="003A5A21" w:rsidP="00E628B8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ZapfDingbatsITC" w:hAnsi="Arial" w:cs="Arial"/>
          <w:color w:val="000000"/>
          <w:sz w:val="18"/>
          <w:szCs w:val="18"/>
        </w:rPr>
      </w:pPr>
      <w:r w:rsidRPr="001740CE">
        <w:rPr>
          <w:rFonts w:ascii="Arial" w:eastAsia="ZapfDingbatsITC" w:hAnsi="Arial" w:cs="Arial"/>
          <w:color w:val="000000"/>
          <w:sz w:val="18"/>
          <w:szCs w:val="18"/>
        </w:rPr>
        <w:t>– uzgodnienie z uczestnikami celów i metody treningu oraz zawarcie kontraktu,</w:t>
      </w:r>
    </w:p>
    <w:p w:rsidR="003A5A21" w:rsidRPr="001740CE" w:rsidRDefault="003A5A21" w:rsidP="00E628B8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ZapfDingbatsITC" w:hAnsi="Arial" w:cs="Arial"/>
          <w:color w:val="000000"/>
          <w:sz w:val="18"/>
          <w:szCs w:val="18"/>
        </w:rPr>
      </w:pPr>
      <w:r w:rsidRPr="001740CE">
        <w:rPr>
          <w:rFonts w:ascii="Arial" w:eastAsia="ZapfDingbatsITC" w:hAnsi="Arial" w:cs="Arial"/>
          <w:color w:val="000000"/>
          <w:sz w:val="18"/>
          <w:szCs w:val="18"/>
        </w:rPr>
        <w:t>– odpowiednie warunki organizacyjne (czas, miejsce zajęć).</w:t>
      </w:r>
    </w:p>
    <w:p w:rsidR="003A5A21" w:rsidRPr="001740CE" w:rsidRDefault="003A5A21" w:rsidP="00E628B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eastAsia="ZapfDingbatsITC" w:hAnsi="Arial" w:cs="Arial"/>
          <w:color w:val="000000"/>
          <w:sz w:val="18"/>
          <w:szCs w:val="18"/>
        </w:rPr>
      </w:pPr>
      <w:r w:rsidRPr="001740CE">
        <w:rPr>
          <w:rFonts w:ascii="Arial" w:eastAsia="ZapfDingbatsITC" w:hAnsi="Arial" w:cs="Arial"/>
          <w:color w:val="000000"/>
          <w:sz w:val="18"/>
          <w:szCs w:val="18"/>
        </w:rPr>
        <w:t>Trening psychologiczny bywa stosowany w różnych kontekstach: jako element programów szkoleniowych, jako część programów terapii dla osób uzależnionych</w:t>
      </w:r>
      <w:r w:rsidR="00E628B8" w:rsidRPr="001740CE">
        <w:rPr>
          <w:rFonts w:ascii="Arial" w:eastAsia="ZapfDingbatsITC" w:hAnsi="Arial" w:cs="Arial"/>
          <w:color w:val="000000"/>
          <w:sz w:val="18"/>
          <w:szCs w:val="18"/>
        </w:rPr>
        <w:t xml:space="preserve"> </w:t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>i współuzależnionych</w:t>
      </w:r>
      <w:r w:rsidR="00E16D71" w:rsidRPr="001740CE">
        <w:rPr>
          <w:rFonts w:ascii="Arial" w:eastAsia="ZapfDingbatsITC" w:hAnsi="Arial" w:cs="Arial"/>
          <w:color w:val="000000"/>
          <w:sz w:val="18"/>
          <w:szCs w:val="18"/>
        </w:rPr>
        <w:t xml:space="preserve"> </w:t>
      </w:r>
      <w:r w:rsidR="008662BF" w:rsidRPr="001740CE">
        <w:rPr>
          <w:rFonts w:ascii="Arial" w:eastAsia="ZapfDingbatsITC" w:hAnsi="Arial" w:cs="Arial"/>
          <w:color w:val="000000"/>
          <w:sz w:val="18"/>
          <w:szCs w:val="18"/>
        </w:rPr>
        <w:br/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>itp.</w:t>
      </w:r>
      <w:r w:rsidR="008662BF" w:rsidRPr="001740CE">
        <w:rPr>
          <w:rFonts w:ascii="Arial" w:eastAsia="ZapfDingbatsITC" w:hAnsi="Arial" w:cs="Arial"/>
          <w:color w:val="000000"/>
          <w:sz w:val="18"/>
          <w:szCs w:val="18"/>
        </w:rPr>
        <w:t>, o</w:t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>znacza to, że za prowadzenie treningu, w zależności od okoliczności, mogą być stosowane różne stawki wynagrodzenia.</w:t>
      </w:r>
    </w:p>
    <w:p w:rsidR="003A5A21" w:rsidRPr="001740CE" w:rsidRDefault="003A5A21" w:rsidP="00E628B8">
      <w:pPr>
        <w:pStyle w:val="Akapitzlist"/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Arial" w:eastAsia="ZapfDingbatsITC" w:hAnsi="Arial" w:cs="Arial"/>
          <w:color w:val="000000"/>
          <w:sz w:val="18"/>
          <w:szCs w:val="18"/>
        </w:rPr>
      </w:pPr>
      <w:r w:rsidRPr="001740CE">
        <w:rPr>
          <w:rFonts w:ascii="Arial" w:eastAsia="ZapfDingbatsITC" w:hAnsi="Arial" w:cs="Arial"/>
          <w:b/>
          <w:color w:val="000000"/>
          <w:sz w:val="18"/>
          <w:szCs w:val="18"/>
        </w:rPr>
        <w:t>dyżury i działania interwencyjno-wspierające</w:t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 xml:space="preserve"> – tego typu działania są aktualnie najczęściej</w:t>
      </w:r>
      <w:r w:rsidR="00E16D71" w:rsidRPr="001740CE">
        <w:rPr>
          <w:rFonts w:ascii="Arial" w:eastAsia="ZapfDingbatsITC" w:hAnsi="Arial" w:cs="Arial"/>
          <w:color w:val="000000"/>
          <w:sz w:val="18"/>
          <w:szCs w:val="18"/>
        </w:rPr>
        <w:t xml:space="preserve"> </w:t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>podejmowane w ramach różnorodnych programów przeciwdziałania przemocy w rodzinie.</w:t>
      </w:r>
      <w:r w:rsidR="00E16D71" w:rsidRPr="001740CE">
        <w:rPr>
          <w:rFonts w:ascii="Arial" w:eastAsia="ZapfDingbatsITC" w:hAnsi="Arial" w:cs="Arial"/>
          <w:color w:val="000000"/>
          <w:sz w:val="18"/>
          <w:szCs w:val="18"/>
        </w:rPr>
        <w:t xml:space="preserve"> </w:t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>Mogą być prowadzone przy pomocy wolontariatu, a więc nieodpłatnego zaangażowania</w:t>
      </w:r>
      <w:r w:rsidR="00E16D71" w:rsidRPr="001740CE">
        <w:rPr>
          <w:rFonts w:ascii="Arial" w:eastAsia="ZapfDingbatsITC" w:hAnsi="Arial" w:cs="Arial"/>
          <w:color w:val="000000"/>
          <w:sz w:val="18"/>
          <w:szCs w:val="18"/>
        </w:rPr>
        <w:t xml:space="preserve"> </w:t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>określonych osób pragnących pomagać innym ludziom. W pewnych okolicznościach</w:t>
      </w:r>
      <w:r w:rsidR="00E16D71" w:rsidRPr="001740CE">
        <w:rPr>
          <w:rFonts w:ascii="Arial" w:eastAsia="ZapfDingbatsITC" w:hAnsi="Arial" w:cs="Arial"/>
          <w:color w:val="000000"/>
          <w:sz w:val="18"/>
          <w:szCs w:val="18"/>
        </w:rPr>
        <w:t xml:space="preserve"> </w:t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>mogą być również prowadzone na zasadach usługi świadczonej profesjonalnie i odpłatnie.</w:t>
      </w:r>
      <w:r w:rsidR="00E16D71" w:rsidRPr="001740CE">
        <w:rPr>
          <w:rFonts w:ascii="Arial" w:eastAsia="ZapfDingbatsITC" w:hAnsi="Arial" w:cs="Arial"/>
          <w:color w:val="000000"/>
          <w:sz w:val="18"/>
          <w:szCs w:val="18"/>
        </w:rPr>
        <w:t xml:space="preserve"> </w:t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 xml:space="preserve">Dotyczyć mogą np. dyżurów w punktach konsultacyjnych, w czasie których udziela </w:t>
      </w:r>
      <w:r w:rsidR="00497C16" w:rsidRPr="001740CE">
        <w:rPr>
          <w:rFonts w:ascii="Arial" w:eastAsia="ZapfDingbatsITC" w:hAnsi="Arial" w:cs="Arial"/>
          <w:color w:val="000000"/>
          <w:sz w:val="18"/>
          <w:szCs w:val="18"/>
        </w:rPr>
        <w:br/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>się prostych</w:t>
      </w:r>
      <w:r w:rsidR="00E16D71" w:rsidRPr="001740CE">
        <w:rPr>
          <w:rFonts w:ascii="Arial" w:eastAsia="ZapfDingbatsITC" w:hAnsi="Arial" w:cs="Arial"/>
          <w:color w:val="000000"/>
          <w:sz w:val="18"/>
          <w:szCs w:val="18"/>
        </w:rPr>
        <w:t xml:space="preserve"> </w:t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>informacji i wskazówek osobiście lub telefonicznie. Przy organizowaniu takich działań</w:t>
      </w:r>
      <w:r w:rsidR="00E16D71" w:rsidRPr="001740CE">
        <w:rPr>
          <w:rFonts w:ascii="Arial" w:eastAsia="ZapfDingbatsITC" w:hAnsi="Arial" w:cs="Arial"/>
          <w:color w:val="000000"/>
          <w:sz w:val="18"/>
          <w:szCs w:val="18"/>
        </w:rPr>
        <w:t xml:space="preserve"> </w:t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>pożądane jest rozważenie, jakiego rodzaju kwalifikacje są potrzebne oraz promowanie wolontariatu</w:t>
      </w:r>
      <w:r w:rsidR="00E16D71" w:rsidRPr="001740CE">
        <w:rPr>
          <w:rFonts w:ascii="Arial" w:eastAsia="ZapfDingbatsITC" w:hAnsi="Arial" w:cs="Arial"/>
          <w:color w:val="000000"/>
          <w:sz w:val="18"/>
          <w:szCs w:val="18"/>
        </w:rPr>
        <w:t xml:space="preserve"> </w:t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>umocnionego odpowiednim przeszkoleniem. Należy zwrócić uwagę na specyfikę</w:t>
      </w:r>
      <w:r w:rsidR="00E16D71" w:rsidRPr="001740CE">
        <w:rPr>
          <w:rFonts w:ascii="Arial" w:eastAsia="ZapfDingbatsITC" w:hAnsi="Arial" w:cs="Arial"/>
          <w:color w:val="000000"/>
          <w:sz w:val="18"/>
          <w:szCs w:val="18"/>
        </w:rPr>
        <w:t xml:space="preserve"> </w:t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>usług konsultacyjnych wymagających wyższych kompetencji,</w:t>
      </w:r>
    </w:p>
    <w:p w:rsidR="00981265" w:rsidRPr="001740CE" w:rsidRDefault="003A5A21" w:rsidP="00981265">
      <w:pPr>
        <w:pStyle w:val="Akapitzlist"/>
        <w:numPr>
          <w:ilvl w:val="0"/>
          <w:numId w:val="2"/>
        </w:numPr>
        <w:spacing w:after="0" w:line="240" w:lineRule="auto"/>
        <w:ind w:left="284" w:hanging="218"/>
        <w:jc w:val="both"/>
        <w:rPr>
          <w:rFonts w:ascii="Arial" w:hAnsi="Arial" w:cs="Arial"/>
          <w:sz w:val="18"/>
          <w:szCs w:val="18"/>
        </w:rPr>
      </w:pPr>
      <w:r w:rsidRPr="001740CE">
        <w:rPr>
          <w:rFonts w:ascii="Arial" w:eastAsia="ZapfDingbatsITC" w:hAnsi="Arial" w:cs="Arial"/>
          <w:b/>
          <w:color w:val="000000"/>
          <w:sz w:val="18"/>
          <w:szCs w:val="18"/>
        </w:rPr>
        <w:t xml:space="preserve">konsultacje specjalistów </w:t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>– związane są z zapraszaniem wysoko wykwalifikowanych specjalistów</w:t>
      </w:r>
      <w:r w:rsidR="00E16D71" w:rsidRPr="001740CE">
        <w:rPr>
          <w:rFonts w:ascii="Arial" w:eastAsia="ZapfDingbatsITC" w:hAnsi="Arial" w:cs="Arial"/>
          <w:color w:val="000000"/>
          <w:sz w:val="18"/>
          <w:szCs w:val="18"/>
        </w:rPr>
        <w:t xml:space="preserve"> </w:t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>(lekarzy, psychologów, socjologów, prawników) do doradztwa w zakresie pojawiających</w:t>
      </w:r>
      <w:r w:rsidR="00E16D71" w:rsidRPr="001740CE">
        <w:rPr>
          <w:rFonts w:ascii="Arial" w:eastAsia="ZapfDingbatsITC" w:hAnsi="Arial" w:cs="Arial"/>
          <w:color w:val="000000"/>
          <w:sz w:val="18"/>
          <w:szCs w:val="18"/>
        </w:rPr>
        <w:t xml:space="preserve"> </w:t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>się problemów związanych z realizacją programów profilaktycznych, terapeutycznych,</w:t>
      </w:r>
      <w:r w:rsidR="00E16D71" w:rsidRPr="001740CE">
        <w:rPr>
          <w:rFonts w:ascii="Arial" w:eastAsia="ZapfDingbatsITC" w:hAnsi="Arial" w:cs="Arial"/>
          <w:color w:val="000000"/>
          <w:sz w:val="18"/>
          <w:szCs w:val="18"/>
        </w:rPr>
        <w:t xml:space="preserve"> </w:t>
      </w:r>
      <w:r w:rsidRPr="001740CE">
        <w:rPr>
          <w:rFonts w:ascii="Arial" w:eastAsia="ZapfDingbatsITC" w:hAnsi="Arial" w:cs="Arial"/>
          <w:color w:val="000000"/>
          <w:sz w:val="18"/>
          <w:szCs w:val="18"/>
        </w:rPr>
        <w:t>interwencyjnych i wymagających takich konsultacji,</w:t>
      </w:r>
      <w:r w:rsidR="00E16D71" w:rsidRPr="001740CE">
        <w:rPr>
          <w:rFonts w:ascii="Arial" w:eastAsia="ZapfDingbatsITC" w:hAnsi="Arial" w:cs="Arial"/>
          <w:color w:val="000000"/>
          <w:sz w:val="18"/>
          <w:szCs w:val="18"/>
        </w:rPr>
        <w:t xml:space="preserve"> </w:t>
      </w:r>
      <w:r w:rsidRPr="001740CE">
        <w:rPr>
          <w:rFonts w:ascii="Arial" w:hAnsi="Arial" w:cs="Arial"/>
          <w:sz w:val="18"/>
          <w:szCs w:val="18"/>
        </w:rPr>
        <w:t>superwizja – to specyficzna metoda szkolenia osób zajmujących się pomocą psychologiczną;</w:t>
      </w:r>
      <w:r w:rsidR="00E16D71" w:rsidRPr="001740CE">
        <w:rPr>
          <w:rFonts w:ascii="Arial" w:hAnsi="Arial" w:cs="Arial"/>
          <w:sz w:val="18"/>
          <w:szCs w:val="18"/>
        </w:rPr>
        <w:t xml:space="preserve"> </w:t>
      </w:r>
      <w:r w:rsidRPr="001740CE">
        <w:rPr>
          <w:rFonts w:ascii="Arial" w:hAnsi="Arial" w:cs="Arial"/>
          <w:sz w:val="18"/>
          <w:szCs w:val="18"/>
        </w:rPr>
        <w:t>analizowanie (pod kierunkiem wysokiej klasy specjalisty) doświadczeń i wydarzeń zachodzących</w:t>
      </w:r>
      <w:r w:rsidR="00E16D71" w:rsidRPr="001740CE">
        <w:rPr>
          <w:rFonts w:ascii="Arial" w:hAnsi="Arial" w:cs="Arial"/>
          <w:sz w:val="18"/>
          <w:szCs w:val="18"/>
        </w:rPr>
        <w:t xml:space="preserve"> </w:t>
      </w:r>
      <w:r w:rsidRPr="001740CE">
        <w:rPr>
          <w:rFonts w:ascii="Arial" w:hAnsi="Arial" w:cs="Arial"/>
          <w:sz w:val="18"/>
          <w:szCs w:val="18"/>
        </w:rPr>
        <w:t>w procesie prowadzenia psychoterapii indywidualnej lub grupowej.</w:t>
      </w:r>
    </w:p>
    <w:sectPr w:rsidR="00981265" w:rsidRPr="001740CE" w:rsidSect="00606ACF">
      <w:headerReference w:type="default" r:id="rId9"/>
      <w:footerReference w:type="default" r:id="rId10"/>
      <w:pgSz w:w="16838" w:h="11906" w:orient="landscape"/>
      <w:pgMar w:top="1021" w:right="851" w:bottom="73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1A6" w:rsidRDefault="009A41A6" w:rsidP="00BE09D1">
      <w:pPr>
        <w:spacing w:after="0" w:line="240" w:lineRule="auto"/>
      </w:pPr>
      <w:r>
        <w:separator/>
      </w:r>
    </w:p>
  </w:endnote>
  <w:endnote w:type="continuationSeparator" w:id="0">
    <w:p w:rsidR="009A41A6" w:rsidRDefault="009A41A6" w:rsidP="00BE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ZapfDingbatsIT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8203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E09D1" w:rsidRPr="0090700A" w:rsidRDefault="00060194" w:rsidP="0090700A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90700A">
          <w:rPr>
            <w:rFonts w:ascii="Arial" w:hAnsi="Arial" w:cs="Arial"/>
            <w:sz w:val="18"/>
            <w:szCs w:val="18"/>
          </w:rPr>
          <w:fldChar w:fldCharType="begin"/>
        </w:r>
        <w:r w:rsidRPr="0090700A">
          <w:rPr>
            <w:rFonts w:ascii="Arial" w:hAnsi="Arial" w:cs="Arial"/>
            <w:sz w:val="18"/>
            <w:szCs w:val="18"/>
          </w:rPr>
          <w:instrText>PAGE   \* MERGEFORMAT</w:instrText>
        </w:r>
        <w:r w:rsidRPr="0090700A">
          <w:rPr>
            <w:rFonts w:ascii="Arial" w:hAnsi="Arial" w:cs="Arial"/>
            <w:sz w:val="18"/>
            <w:szCs w:val="18"/>
          </w:rPr>
          <w:fldChar w:fldCharType="separate"/>
        </w:r>
        <w:r w:rsidR="00B90BF7">
          <w:rPr>
            <w:rFonts w:ascii="Arial" w:hAnsi="Arial" w:cs="Arial"/>
            <w:noProof/>
            <w:sz w:val="18"/>
            <w:szCs w:val="18"/>
          </w:rPr>
          <w:t>1</w:t>
        </w:r>
        <w:r w:rsidRPr="0090700A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1A6" w:rsidRDefault="009A41A6" w:rsidP="00BE09D1">
      <w:pPr>
        <w:spacing w:after="0" w:line="240" w:lineRule="auto"/>
      </w:pPr>
      <w:r>
        <w:separator/>
      </w:r>
    </w:p>
  </w:footnote>
  <w:footnote w:type="continuationSeparator" w:id="0">
    <w:p w:rsidR="009A41A6" w:rsidRDefault="009A41A6" w:rsidP="00BE09D1">
      <w:pPr>
        <w:spacing w:after="0" w:line="240" w:lineRule="auto"/>
      </w:pPr>
      <w:r>
        <w:continuationSeparator/>
      </w:r>
    </w:p>
  </w:footnote>
  <w:footnote w:id="1">
    <w:p w:rsidR="00393989" w:rsidRPr="0090700A" w:rsidRDefault="00393989" w:rsidP="0090700A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8"/>
          <w:lang w:eastAsia="pl-PL"/>
        </w:rPr>
      </w:pPr>
      <w:r w:rsidRPr="0090700A">
        <w:rPr>
          <w:rStyle w:val="Odwoanieprzypisudolnego"/>
          <w:rFonts w:ascii="Arial" w:hAnsi="Arial" w:cs="Arial"/>
          <w:sz w:val="16"/>
          <w:szCs w:val="18"/>
        </w:rPr>
        <w:footnoteRef/>
      </w:r>
      <w:r w:rsidR="00435FD6" w:rsidRPr="0090700A">
        <w:rPr>
          <w:rFonts w:ascii="Arial" w:hAnsi="Arial" w:cs="Arial"/>
          <w:color w:val="000000"/>
          <w:sz w:val="16"/>
          <w:szCs w:val="18"/>
        </w:rPr>
        <w:t xml:space="preserve"> </w:t>
      </w:r>
      <w:r w:rsidRPr="0090700A">
        <w:rPr>
          <w:rFonts w:ascii="Arial" w:hAnsi="Arial" w:cs="Arial"/>
          <w:color w:val="000000"/>
          <w:sz w:val="16"/>
          <w:szCs w:val="18"/>
        </w:rPr>
        <w:t>W o</w:t>
      </w:r>
      <w:r w:rsidR="00B7423D" w:rsidRPr="0090700A">
        <w:rPr>
          <w:rFonts w:ascii="Arial" w:hAnsi="Arial" w:cs="Arial"/>
          <w:color w:val="000000"/>
          <w:sz w:val="16"/>
          <w:szCs w:val="18"/>
        </w:rPr>
        <w:t>pracowaniu zastosowano wskazania</w:t>
      </w:r>
      <w:r w:rsidRPr="0090700A">
        <w:rPr>
          <w:rFonts w:ascii="Arial" w:hAnsi="Arial" w:cs="Arial"/>
          <w:color w:val="000000"/>
          <w:sz w:val="16"/>
          <w:szCs w:val="18"/>
        </w:rPr>
        <w:t xml:space="preserve"> Państwowej Agencji Rozwiązywania Problemów Alkoholowych zawarte w publikacji pn.: </w:t>
      </w:r>
      <w:r w:rsidR="00C8633C" w:rsidRPr="0090700A">
        <w:rPr>
          <w:rFonts w:ascii="Arial" w:eastAsia="Times New Roman" w:hAnsi="Arial" w:cs="Arial"/>
          <w:i/>
          <w:sz w:val="16"/>
          <w:szCs w:val="18"/>
          <w:lang w:eastAsia="pl-PL"/>
        </w:rPr>
        <w:t>Rekomendacje</w:t>
      </w:r>
      <w:r w:rsidR="00060194" w:rsidRPr="0090700A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 </w:t>
      </w:r>
      <w:r w:rsidR="00C8633C" w:rsidRPr="0090700A">
        <w:rPr>
          <w:rFonts w:ascii="Arial" w:eastAsia="Times New Roman" w:hAnsi="Arial" w:cs="Arial"/>
          <w:i/>
          <w:sz w:val="16"/>
          <w:szCs w:val="18"/>
          <w:lang w:eastAsia="pl-PL"/>
        </w:rPr>
        <w:t>do realizowania i finansowania gminnych programów profilaktyki</w:t>
      </w:r>
      <w:r w:rsidR="0090700A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="00C8633C" w:rsidRPr="0090700A">
        <w:rPr>
          <w:rFonts w:ascii="Arial" w:eastAsia="Times New Roman" w:hAnsi="Arial" w:cs="Arial"/>
          <w:i/>
          <w:sz w:val="16"/>
          <w:szCs w:val="18"/>
          <w:lang w:eastAsia="pl-PL"/>
        </w:rPr>
        <w:t>i rozwiązywania problemów alkoholowych w 201</w:t>
      </w:r>
      <w:r w:rsidR="0090700A">
        <w:rPr>
          <w:rFonts w:ascii="Arial" w:eastAsia="Times New Roman" w:hAnsi="Arial" w:cs="Arial"/>
          <w:i/>
          <w:sz w:val="16"/>
          <w:szCs w:val="18"/>
          <w:lang w:eastAsia="pl-PL"/>
        </w:rPr>
        <w:t>7</w:t>
      </w:r>
      <w:r w:rsidR="00060194" w:rsidRPr="0090700A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 roku</w:t>
      </w:r>
      <w:r w:rsidR="00496C9F">
        <w:rPr>
          <w:rFonts w:ascii="Arial" w:eastAsia="Times New Roman" w:hAnsi="Arial" w:cs="Arial"/>
          <w:sz w:val="16"/>
          <w:szCs w:val="18"/>
          <w:lang w:eastAsia="pl-PL"/>
        </w:rPr>
        <w:t xml:space="preserve">, </w:t>
      </w:r>
      <w:r w:rsidR="00135694" w:rsidRPr="0090700A">
        <w:rPr>
          <w:rFonts w:ascii="Arial" w:hAnsi="Arial" w:cs="Arial"/>
          <w:color w:val="000000"/>
          <w:sz w:val="16"/>
          <w:szCs w:val="18"/>
        </w:rPr>
        <w:t>dostępne</w:t>
      </w:r>
      <w:r w:rsidR="00496C9F">
        <w:rPr>
          <w:rFonts w:ascii="Arial" w:hAnsi="Arial" w:cs="Arial"/>
          <w:color w:val="000000"/>
          <w:sz w:val="16"/>
          <w:szCs w:val="18"/>
        </w:rPr>
        <w:t xml:space="preserve"> p: </w:t>
      </w:r>
      <w:hyperlink r:id="rId1" w:history="1">
        <w:r w:rsidR="00496C9F" w:rsidRPr="003345D1">
          <w:rPr>
            <w:rStyle w:val="Hipercze"/>
            <w:rFonts w:ascii="Arial" w:hAnsi="Arial" w:cs="Arial"/>
            <w:sz w:val="16"/>
            <w:szCs w:val="18"/>
          </w:rPr>
          <w:t>http://www.parpa.pl/images/file/Rekomendacje%202017%20PARPA.pdf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0CE" w:rsidRPr="001740CE" w:rsidRDefault="001740CE" w:rsidP="001740CE">
    <w:pPr>
      <w:pStyle w:val="Tekstpodstawowywcity"/>
      <w:spacing w:after="0"/>
      <w:jc w:val="right"/>
      <w:rPr>
        <w:rFonts w:ascii="Arial" w:hAnsi="Arial" w:cs="Arial"/>
        <w:b/>
        <w:bCs/>
        <w:i/>
        <w:sz w:val="16"/>
        <w:szCs w:val="18"/>
      </w:rPr>
    </w:pPr>
    <w:r w:rsidRPr="007D5732">
      <w:rPr>
        <w:rFonts w:ascii="Arial" w:hAnsi="Arial" w:cs="Arial"/>
        <w:b/>
        <w:bCs/>
        <w:sz w:val="16"/>
        <w:szCs w:val="18"/>
      </w:rPr>
      <w:t>Załącznik 2 Limity stawek</w:t>
    </w:r>
  </w:p>
  <w:p w:rsidR="001740CE" w:rsidRDefault="001740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F1B13"/>
    <w:multiLevelType w:val="hybridMultilevel"/>
    <w:tmpl w:val="D35E6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476A6"/>
    <w:multiLevelType w:val="hybridMultilevel"/>
    <w:tmpl w:val="2234768A"/>
    <w:lvl w:ilvl="0" w:tplc="64463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405"/>
    <w:rsid w:val="00003AD3"/>
    <w:rsid w:val="00030A5E"/>
    <w:rsid w:val="00060194"/>
    <w:rsid w:val="00090F9D"/>
    <w:rsid w:val="000D5C34"/>
    <w:rsid w:val="000E71CB"/>
    <w:rsid w:val="00120D0D"/>
    <w:rsid w:val="0013104B"/>
    <w:rsid w:val="00135694"/>
    <w:rsid w:val="00170299"/>
    <w:rsid w:val="001740CE"/>
    <w:rsid w:val="001A745E"/>
    <w:rsid w:val="001B3759"/>
    <w:rsid w:val="001C71BE"/>
    <w:rsid w:val="001D0405"/>
    <w:rsid w:val="00201497"/>
    <w:rsid w:val="002359E5"/>
    <w:rsid w:val="00245BB8"/>
    <w:rsid w:val="002469CD"/>
    <w:rsid w:val="0025330E"/>
    <w:rsid w:val="00294F6D"/>
    <w:rsid w:val="002A4679"/>
    <w:rsid w:val="00313978"/>
    <w:rsid w:val="00335459"/>
    <w:rsid w:val="00345F22"/>
    <w:rsid w:val="003644B2"/>
    <w:rsid w:val="00393989"/>
    <w:rsid w:val="003A5A21"/>
    <w:rsid w:val="003E0E4C"/>
    <w:rsid w:val="003E4DAD"/>
    <w:rsid w:val="00404330"/>
    <w:rsid w:val="0040772E"/>
    <w:rsid w:val="00411322"/>
    <w:rsid w:val="00415941"/>
    <w:rsid w:val="00435FD6"/>
    <w:rsid w:val="00441473"/>
    <w:rsid w:val="00465FDC"/>
    <w:rsid w:val="00466FA8"/>
    <w:rsid w:val="004874A4"/>
    <w:rsid w:val="0049391E"/>
    <w:rsid w:val="00496C9F"/>
    <w:rsid w:val="00497C16"/>
    <w:rsid w:val="004A702E"/>
    <w:rsid w:val="004D1A1E"/>
    <w:rsid w:val="004E7FDA"/>
    <w:rsid w:val="0051258B"/>
    <w:rsid w:val="00524FC6"/>
    <w:rsid w:val="00551E80"/>
    <w:rsid w:val="005A431F"/>
    <w:rsid w:val="005B4936"/>
    <w:rsid w:val="005E3163"/>
    <w:rsid w:val="005F24CC"/>
    <w:rsid w:val="005F5B9D"/>
    <w:rsid w:val="00600D53"/>
    <w:rsid w:val="00606ACF"/>
    <w:rsid w:val="00640007"/>
    <w:rsid w:val="00670422"/>
    <w:rsid w:val="00682020"/>
    <w:rsid w:val="006A3BF4"/>
    <w:rsid w:val="006F2106"/>
    <w:rsid w:val="006F4700"/>
    <w:rsid w:val="0072381F"/>
    <w:rsid w:val="00741397"/>
    <w:rsid w:val="00764E2B"/>
    <w:rsid w:val="00782EFC"/>
    <w:rsid w:val="0079189A"/>
    <w:rsid w:val="007B28DD"/>
    <w:rsid w:val="007C3EA0"/>
    <w:rsid w:val="007D5732"/>
    <w:rsid w:val="0080372A"/>
    <w:rsid w:val="0080498A"/>
    <w:rsid w:val="00816F6B"/>
    <w:rsid w:val="00824EE6"/>
    <w:rsid w:val="00861086"/>
    <w:rsid w:val="008662BF"/>
    <w:rsid w:val="008704C5"/>
    <w:rsid w:val="008860D6"/>
    <w:rsid w:val="008A3A5F"/>
    <w:rsid w:val="008C5092"/>
    <w:rsid w:val="008D231E"/>
    <w:rsid w:val="008D46E8"/>
    <w:rsid w:val="008E4D8D"/>
    <w:rsid w:val="0090700A"/>
    <w:rsid w:val="00925714"/>
    <w:rsid w:val="009406A4"/>
    <w:rsid w:val="00981265"/>
    <w:rsid w:val="009A0385"/>
    <w:rsid w:val="009A41A6"/>
    <w:rsid w:val="009A65E2"/>
    <w:rsid w:val="009B5E7B"/>
    <w:rsid w:val="009D0512"/>
    <w:rsid w:val="009F34AF"/>
    <w:rsid w:val="00A008B9"/>
    <w:rsid w:val="00A43EDE"/>
    <w:rsid w:val="00A44703"/>
    <w:rsid w:val="00A476C8"/>
    <w:rsid w:val="00A6036C"/>
    <w:rsid w:val="00A60467"/>
    <w:rsid w:val="00A740ED"/>
    <w:rsid w:val="00AB049C"/>
    <w:rsid w:val="00AB7198"/>
    <w:rsid w:val="00AB7695"/>
    <w:rsid w:val="00AC1E9C"/>
    <w:rsid w:val="00AC620F"/>
    <w:rsid w:val="00AC7200"/>
    <w:rsid w:val="00B34F72"/>
    <w:rsid w:val="00B40AA1"/>
    <w:rsid w:val="00B45548"/>
    <w:rsid w:val="00B51102"/>
    <w:rsid w:val="00B54E02"/>
    <w:rsid w:val="00B638BC"/>
    <w:rsid w:val="00B7423D"/>
    <w:rsid w:val="00B90BF7"/>
    <w:rsid w:val="00BB0012"/>
    <w:rsid w:val="00BC5D1D"/>
    <w:rsid w:val="00BD487D"/>
    <w:rsid w:val="00BE09D1"/>
    <w:rsid w:val="00C413F2"/>
    <w:rsid w:val="00C63177"/>
    <w:rsid w:val="00C72034"/>
    <w:rsid w:val="00C8633C"/>
    <w:rsid w:val="00CA0844"/>
    <w:rsid w:val="00CD4660"/>
    <w:rsid w:val="00CF5134"/>
    <w:rsid w:val="00CF5FAE"/>
    <w:rsid w:val="00D27166"/>
    <w:rsid w:val="00D453D9"/>
    <w:rsid w:val="00D83619"/>
    <w:rsid w:val="00D97EE1"/>
    <w:rsid w:val="00DA2EE9"/>
    <w:rsid w:val="00DC44F9"/>
    <w:rsid w:val="00DD4ABE"/>
    <w:rsid w:val="00DF1485"/>
    <w:rsid w:val="00E06AC9"/>
    <w:rsid w:val="00E13D06"/>
    <w:rsid w:val="00E16D71"/>
    <w:rsid w:val="00E628B8"/>
    <w:rsid w:val="00E930E0"/>
    <w:rsid w:val="00ED0C54"/>
    <w:rsid w:val="00EE7D29"/>
    <w:rsid w:val="00EF27AB"/>
    <w:rsid w:val="00F56DFB"/>
    <w:rsid w:val="00F65AE1"/>
    <w:rsid w:val="00F75459"/>
    <w:rsid w:val="00FC6688"/>
    <w:rsid w:val="00FE0319"/>
    <w:rsid w:val="00FE149D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C0E6A5-B70F-47B6-8A1C-EC095491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51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B71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71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BF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E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9D1"/>
  </w:style>
  <w:style w:type="paragraph" w:styleId="Stopka">
    <w:name w:val="footer"/>
    <w:basedOn w:val="Normalny"/>
    <w:link w:val="StopkaZnak"/>
    <w:uiPriority w:val="99"/>
    <w:unhideWhenUsed/>
    <w:rsid w:val="00BE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9D1"/>
  </w:style>
  <w:style w:type="paragraph" w:styleId="NormalnyWeb">
    <w:name w:val="Normal (Web)"/>
    <w:basedOn w:val="Normalny"/>
    <w:uiPriority w:val="99"/>
    <w:semiHidden/>
    <w:rsid w:val="00D4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D453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453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39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39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3989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74139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413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96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gramyrekomendowan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pa.pl/images/file/Rekomendacje%202017%20PARPA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B3F30-46B2-4064-B1C4-A8028433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1149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Otwarty konkurs ofert na realizację zadań publicznych Województwa Śląskiego w dziedzinie profilaktyki i rozwiązywania problemów uzależnień w 2014 roku – </vt:lpstr>
    </vt:vector>
  </TitlesOfParts>
  <Company/>
  <LinksUpToDate>false</LinksUpToDate>
  <CharactersWithSpaces>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Otwarty konkurs ofert na realizację zadań publicznych Województwa Śląskiego w dziedzinie profilaktyki i rozwiązywania problemów uzależnień w 2014 roku – </dc:title>
  <dc:subject/>
  <dc:creator>amarkiewicz</dc:creator>
  <cp:keywords/>
  <dc:description/>
  <cp:lastModifiedBy>Anna AM. Markiewicz</cp:lastModifiedBy>
  <cp:revision>45</cp:revision>
  <cp:lastPrinted>2015-03-26T14:08:00Z</cp:lastPrinted>
  <dcterms:created xsi:type="dcterms:W3CDTF">2015-04-08T11:11:00Z</dcterms:created>
  <dcterms:modified xsi:type="dcterms:W3CDTF">2017-04-28T09:57:00Z</dcterms:modified>
</cp:coreProperties>
</file>